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2BF7895C-F04D-4B91-A2B9-B7D799981D10}"/>
</file>

<file path=customXml/itemProps3.xml><?xml version="1.0" encoding="utf-8"?>
<ds:datastoreItem xmlns:ds="http://schemas.openxmlformats.org/officeDocument/2006/customXml" ds:itemID="{9D0626E6-6CB7-49CA-A64F-F28C4BDBDF23}"/>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